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506614</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26</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A-IoT</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#107 meeting, the revised WID on Solutions for Ambient IoT (Internet of Things) in NR was approved [1]. According to the WID, the objectives of RAN4 scope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6A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FAD0BE">
            <w:pPr>
              <w:numPr>
                <w:ilvl w:val="0"/>
                <w:numId w:val="3"/>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RAN4 scope:</w:t>
            </w:r>
          </w:p>
          <w:p w14:paraId="5931C61B">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RF requirements for Ambient-IoT BS, device 1, and CW</w:t>
            </w:r>
          </w:p>
          <w:p w14:paraId="08874F73">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Type 1-C Ambient-IoT BS</w:t>
            </w:r>
          </w:p>
          <w:p w14:paraId="17215131">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device 1</w:t>
            </w:r>
          </w:p>
          <w:p w14:paraId="69775E5A">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CW</w:t>
            </w:r>
          </w:p>
          <w:p w14:paraId="173D3E69">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RRM core requirements for device 1, if necessary</w:t>
            </w:r>
          </w:p>
          <w:p w14:paraId="47F85BD2">
            <w:pPr>
              <w:numPr>
                <w:ilvl w:val="1"/>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Study and develop OTA test methodology for A-IoT device 1</w:t>
            </w:r>
          </w:p>
          <w:p w14:paraId="534AE075">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Consider test methods specified in TR 38.870 as starting point. Take test system reuse, test system complexity and test time into account, when developing test methods suitable for Ambient IoT.</w:t>
            </w:r>
          </w:p>
          <w:p w14:paraId="69BCB3A6">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Develop the preliminary Measurement Uncertainty (MU) assessment for the test system</w:t>
            </w:r>
          </w:p>
          <w:p w14:paraId="5325F8A0">
            <w:pPr>
              <w:numPr>
                <w:ilvl w:val="1"/>
                <w:numId w:val="3"/>
              </w:numPr>
              <w:spacing w:after="120"/>
              <w:ind w:right="-96"/>
              <w:jc w:val="both"/>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sz w:val="20"/>
                <w:szCs w:val="20"/>
                <w:lang w:val="en-US" w:eastAsia="zh-CN"/>
              </w:rPr>
              <w:t>Use band n8 as an example band</w:t>
            </w:r>
          </w:p>
        </w:tc>
      </w:tr>
    </w:tbl>
    <w:p w14:paraId="3B02A20B">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is discussion on RRM requirements for A-IoT,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65D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906AABE">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1-1: </w:t>
            </w:r>
            <w:r>
              <w:rPr>
                <w:rFonts w:hint="default" w:ascii="Times New Roman" w:hAnsi="Times New Roman" w:cs="Times New Roman"/>
                <w:sz w:val="20"/>
                <w:szCs w:val="20"/>
                <w:lang w:val="en-US"/>
              </w:rPr>
              <w:t>A-IoT paging</w:t>
            </w:r>
          </w:p>
          <w:p w14:paraId="43B95405">
            <w:pPr>
              <w:rPr>
                <w:rFonts w:hint="default" w:ascii="Times New Roman" w:hAnsi="Times New Roman" w:cs="Times New Roman"/>
                <w:sz w:val="20"/>
                <w:szCs w:val="20"/>
                <w:highlight w:val="green"/>
                <w:lang w:val="en-US"/>
              </w:rPr>
            </w:pPr>
            <w:r>
              <w:rPr>
                <w:rFonts w:hint="default" w:ascii="Times New Roman" w:hAnsi="Times New Roman" w:cs="Times New Roman"/>
                <w:sz w:val="20"/>
                <w:szCs w:val="20"/>
                <w:highlight w:val="green"/>
                <w:lang w:val="sv-SE"/>
              </w:rPr>
              <w:t>Agreement</w:t>
            </w:r>
            <w:r>
              <w:rPr>
                <w:rFonts w:hint="default" w:ascii="Times New Roman" w:hAnsi="Times New Roman" w:eastAsia="宋体" w:cs="Times New Roman"/>
                <w:sz w:val="20"/>
                <w:szCs w:val="20"/>
                <w:highlight w:val="green"/>
                <w:lang w:val="en-US" w:eastAsia="zh-CN"/>
              </w:rPr>
              <w:t>:</w:t>
            </w:r>
          </w:p>
          <w:p w14:paraId="7C191D09">
            <w:pPr>
              <w:numPr>
                <w:ilvl w:val="0"/>
                <w:numId w:val="4"/>
              </w:numPr>
              <w:autoSpaceDN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lang w:val="en-US" w:eastAsia="zh-CN"/>
              </w:rPr>
              <w:t>RAN4 not to define RRM requirements for A-IoT paging</w:t>
            </w:r>
          </w:p>
          <w:p w14:paraId="6A7BCEFD">
            <w:pPr>
              <w:rPr>
                <w:rFonts w:hint="default" w:ascii="Times New Roman" w:hAnsi="Times New Roman" w:cs="Times New Roman"/>
                <w:b/>
                <w:color w:val="0070C0"/>
                <w:sz w:val="20"/>
                <w:szCs w:val="20"/>
                <w:u w:val="single"/>
                <w:lang w:eastAsia="ko-KR"/>
              </w:rPr>
            </w:pPr>
          </w:p>
          <w:p w14:paraId="2AC0AF55">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1-</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A-IoT </w:t>
            </w:r>
            <w:r>
              <w:rPr>
                <w:rFonts w:hint="default" w:ascii="Times New Roman" w:hAnsi="Times New Roman" w:cs="Times New Roman"/>
                <w:sz w:val="20"/>
                <w:szCs w:val="20"/>
              </w:rPr>
              <w:t xml:space="preserve">data transmission </w:t>
            </w:r>
          </w:p>
          <w:p w14:paraId="1051A7A0">
            <w:pPr>
              <w:overflowPunct w:val="0"/>
              <w:autoSpaceDE w:val="0"/>
              <w:autoSpaceDN w:val="0"/>
              <w:adjustRightInd w:val="0"/>
              <w:snapToGrid w:val="0"/>
              <w:spacing w:after="120"/>
              <w:rPr>
                <w:rFonts w:hint="default" w:ascii="Times New Roman" w:hAnsi="Times New Roman" w:eastAsia="等线" w:cs="Times New Roman"/>
                <w:iCs/>
                <w:sz w:val="20"/>
                <w:szCs w:val="20"/>
                <w:highlight w:val="green"/>
                <w:lang w:val="en-GB"/>
              </w:rPr>
            </w:pPr>
            <w:r>
              <w:rPr>
                <w:rFonts w:hint="default" w:ascii="Times New Roman" w:hAnsi="Times New Roman" w:eastAsia="等线" w:cs="Times New Roman"/>
                <w:iCs/>
                <w:sz w:val="20"/>
                <w:szCs w:val="20"/>
                <w:highlight w:val="green"/>
                <w:lang w:val="en-GB"/>
              </w:rPr>
              <w:t>Agreement:</w:t>
            </w:r>
          </w:p>
          <w:p w14:paraId="279864BE">
            <w:pPr>
              <w:numPr>
                <w:ilvl w:val="0"/>
                <w:numId w:val="4"/>
              </w:numPr>
              <w:autoSpaceDN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lang w:val="en-US" w:eastAsia="zh-CN"/>
              </w:rPr>
              <w:t>Excepting the timing issue discussed in Issue 1-4, no other potential RRM requirement impact is identified for “A-IoT data transmission”</w:t>
            </w:r>
          </w:p>
          <w:p w14:paraId="0CB5A9E4">
            <w:pPr>
              <w:rPr>
                <w:rFonts w:hint="default" w:ascii="Times New Roman" w:hAnsi="Times New Roman" w:cs="Times New Roman"/>
                <w:b/>
                <w:color w:val="0070C0"/>
                <w:sz w:val="20"/>
                <w:szCs w:val="20"/>
                <w:u w:val="single"/>
              </w:rPr>
            </w:pPr>
          </w:p>
          <w:p w14:paraId="0991AFF5">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1-</w:t>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A-IoT random access procedure</w:t>
            </w:r>
          </w:p>
          <w:p w14:paraId="782ACF8D">
            <w:pPr>
              <w:rPr>
                <w:rFonts w:hint="default" w:ascii="Times New Roman" w:hAnsi="Times New Roman" w:cs="Times New Roman"/>
                <w:sz w:val="20"/>
                <w:szCs w:val="20"/>
                <w:highlight w:val="green"/>
                <w:lang w:val="sv-SE"/>
              </w:rPr>
            </w:pPr>
            <w:r>
              <w:rPr>
                <w:rFonts w:hint="default" w:ascii="Times New Roman" w:hAnsi="Times New Roman" w:cs="Times New Roman"/>
                <w:sz w:val="20"/>
                <w:szCs w:val="20"/>
                <w:highlight w:val="green"/>
                <w:lang w:val="sv-SE"/>
              </w:rPr>
              <w:t>Agreement:</w:t>
            </w:r>
          </w:p>
          <w:p w14:paraId="7DABE5B8">
            <w:pPr>
              <w:numPr>
                <w:ilvl w:val="0"/>
                <w:numId w:val="4"/>
              </w:numPr>
              <w:autoSpaceDN w:val="0"/>
              <w:snapToGrid w:val="0"/>
              <w:spacing w:after="12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Cs/>
                <w:sz w:val="20"/>
                <w:szCs w:val="20"/>
                <w:lang w:val="en-US" w:eastAsia="zh-CN"/>
              </w:rPr>
              <w:t>RAN4 to include RRM requirements for correct A-IoT device behaviour during CBRA and CFRA. FFS the details</w:t>
            </w:r>
          </w:p>
        </w:tc>
      </w:tr>
    </w:tbl>
    <w:p w14:paraId="46A690E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7AF459B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RAN2 running CR on introduction of Ambient IoT is under email discussion, but the baseline is stable and email email discussion is used to capture further agreements. According to RAN2 running CR on TS38.300, A-IoT Random Access procedures are as following.</w:t>
      </w:r>
    </w:p>
    <w:p w14:paraId="465BB70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object>
          <v:shape id="_x0000_i1025" o:spt="75" type="#_x0000_t75" style="height:167.7pt;width:218.9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15E1F04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Figure 1</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A-IoT </w:t>
      </w:r>
      <w:r>
        <w:rPr>
          <w:rFonts w:hint="default" w:ascii="Times New Roman" w:hAnsi="Times New Roman" w:cs="Times New Roman"/>
          <w:sz w:val="20"/>
          <w:szCs w:val="20"/>
        </w:rPr>
        <w:t>CBRA</w:t>
      </w:r>
    </w:p>
    <w:p w14:paraId="165D30E5">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rPr>
      </w:pPr>
      <w:r>
        <w:rPr>
          <w:rFonts w:hint="eastAsia"/>
        </w:rPr>
        <w:object>
          <v:shape id="_x0000_i1026" o:spt="75" type="#_x0000_t75" style="height:131.95pt;width:212.6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14:paraId="5C296882">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2</w:t>
      </w:r>
      <w:r>
        <w:rPr>
          <w:rFonts w:hint="default" w:ascii="Times New Roman" w:hAnsi="Times New Roman" w:cs="Times New Roman"/>
          <w:sz w:val="20"/>
          <w:szCs w:val="20"/>
        </w:rPr>
        <w:tab/>
      </w:r>
      <w:r>
        <w:rPr>
          <w:rFonts w:hint="default" w:ascii="Times New Roman" w:hAnsi="Times New Roman" w:eastAsia="宋体" w:cs="Times New Roman"/>
          <w:sz w:val="20"/>
          <w:szCs w:val="20"/>
        </w:rPr>
        <w:t>A-IoT CFRA</w:t>
      </w:r>
    </w:p>
    <w:p w14:paraId="2AD9303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kern w:val="0"/>
          <w:sz w:val="20"/>
          <w:szCs w:val="20"/>
          <w:lang w:val="en-US" w:eastAsia="zh-CN"/>
        </w:rPr>
      </w:pPr>
      <w:r>
        <w:rPr>
          <w:rFonts w:hint="eastAsia" w:ascii="Times New Roman" w:hAnsi="Times New Roman"/>
          <w:sz w:val="20"/>
          <w:szCs w:val="20"/>
          <w:lang w:val="en-US" w:eastAsia="zh-CN"/>
        </w:rPr>
        <w:t xml:space="preserve">In last meeting, it was agreed that RAN4 will include RRM requirements for correct A-IoT device behaviour during CBRA and CFRA. FFS the details. The selectionof random access type is base on </w:t>
      </w:r>
      <w:r>
        <w:rPr>
          <w:rFonts w:hint="eastAsia" w:ascii="Times New Roman" w:hAnsi="Times New Roman"/>
          <w:i/>
          <w:iCs/>
          <w:sz w:val="20"/>
          <w:szCs w:val="20"/>
          <w:lang w:val="en-US" w:eastAsia="zh-CN"/>
        </w:rPr>
        <w:t>RA Type</w:t>
      </w:r>
      <w:r>
        <w:rPr>
          <w:rFonts w:hint="eastAsia" w:ascii="Times New Roman" w:hAnsi="Times New Roman"/>
          <w:sz w:val="20"/>
          <w:szCs w:val="20"/>
          <w:lang w:val="en-US" w:eastAsia="zh-CN"/>
        </w:rPr>
        <w:t xml:space="preserve"> field in the A-IoT Paging message. In high level, as shown in Figure 1, A-IoT CBRA includes A-IoT MSG1 and A-IoT MSG2. For CBRA, the A-IoT device randomly selects one A-IoT MSG1 resource for transmission of the Random ID among A-IoT MSG1 resources provided in A-IoT paging message, </w:t>
      </w:r>
      <w:r>
        <w:rPr>
          <w:rFonts w:hint="eastAsia" w:ascii="Times New Roman" w:hAnsi="Times New Roman" w:eastAsia="宋体" w:cs="Times New Roman"/>
          <w:kern w:val="0"/>
          <w:sz w:val="20"/>
          <w:szCs w:val="20"/>
        </w:rPr>
        <w:t>and transmits the A-IoT MSG1 on this resource</w:t>
      </w:r>
      <w:r>
        <w:rPr>
          <w:rFonts w:hint="eastAsia" w:ascii="Times New Roman" w:hAnsi="Times New Roman" w:cs="Times New Roman"/>
          <w:kern w:val="0"/>
          <w:sz w:val="20"/>
          <w:szCs w:val="20"/>
          <w:lang w:val="en-US" w:eastAsia="zh-CN"/>
        </w:rPr>
        <w:t xml:space="preserve">. After A-IoT MSG1 transmission, the device monitors A-IoT MSG2 from the gNB-reader for contention resolution. Upon successful reception of A-IoT MSG2 which contains the same random ID as transmitted in A-IoT MSG1, the A-IoT device considers the contention resolution as successful. Otherwise, the device considers the A-IoT random access procedure as failure. If we follow the legacy way to capture </w:t>
      </w:r>
      <w:r>
        <w:rPr>
          <w:rFonts w:hint="eastAsia" w:ascii="Times New Roman" w:hAnsi="Times New Roman"/>
          <w:sz w:val="20"/>
          <w:szCs w:val="20"/>
          <w:lang w:val="en-US" w:eastAsia="zh-CN"/>
        </w:rPr>
        <w:t xml:space="preserve">RRM requirements for correct A-IoT device behaviour during CBRA, the correct behaviour when transmitting A-IoT MSG1, the correct behaviour when receiving </w:t>
      </w:r>
      <w:r>
        <w:rPr>
          <w:rFonts w:hint="eastAsia" w:ascii="Times New Roman" w:hAnsi="Times New Roman" w:cs="Times New Roman"/>
          <w:kern w:val="0"/>
          <w:sz w:val="20"/>
          <w:szCs w:val="20"/>
          <w:lang w:val="en-US" w:eastAsia="zh-CN"/>
        </w:rPr>
        <w:t xml:space="preserve">A-IoT MSG2, and </w:t>
      </w:r>
      <w:r>
        <w:rPr>
          <w:rFonts w:hint="eastAsia" w:ascii="Times New Roman" w:hAnsi="Times New Roman"/>
          <w:sz w:val="20"/>
          <w:szCs w:val="20"/>
          <w:lang w:val="en-US" w:eastAsia="zh-CN"/>
        </w:rPr>
        <w:t xml:space="preserve">the correct behaviour when not receiving </w:t>
      </w:r>
      <w:r>
        <w:rPr>
          <w:rFonts w:hint="eastAsia" w:ascii="Times New Roman" w:hAnsi="Times New Roman" w:cs="Times New Roman"/>
          <w:kern w:val="0"/>
          <w:sz w:val="20"/>
          <w:szCs w:val="20"/>
          <w:lang w:val="en-US" w:eastAsia="zh-CN"/>
        </w:rPr>
        <w:t>A-IoT MSG2 are need to be specified.</w:t>
      </w:r>
    </w:p>
    <w:p w14:paraId="4126712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 xml:space="preserve">Proposal 1: for RRM requirements on </w:t>
      </w:r>
      <w:r>
        <w:rPr>
          <w:rFonts w:hint="eastAsia" w:ascii="Times New Roman" w:hAnsi="Times New Roman"/>
          <w:b/>
          <w:bCs/>
          <w:i/>
          <w:iCs/>
          <w:sz w:val="20"/>
          <w:szCs w:val="20"/>
          <w:lang w:val="en-US" w:eastAsia="zh-CN"/>
        </w:rPr>
        <w:t xml:space="preserve">A-IoT CBRA, it is proposed to consider </w:t>
      </w:r>
      <w:r>
        <w:rPr>
          <w:rFonts w:hint="eastAsia" w:ascii="Times New Roman" w:hAnsi="Times New Roman" w:cs="Times New Roman"/>
          <w:b/>
          <w:bCs/>
          <w:i/>
          <w:iCs/>
          <w:kern w:val="0"/>
          <w:sz w:val="20"/>
          <w:szCs w:val="20"/>
          <w:lang w:val="en-US" w:eastAsia="zh-CN"/>
        </w:rPr>
        <w:t>following aspects:</w:t>
      </w:r>
    </w:p>
    <w:p w14:paraId="26FF7F4C">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the correct behaviour when transmitting A-IoT MSG1</w:t>
      </w:r>
    </w:p>
    <w:p w14:paraId="214A1515">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b/>
          <w:bCs/>
          <w:i/>
          <w:iCs/>
          <w:kern w:val="0"/>
          <w:sz w:val="20"/>
          <w:szCs w:val="20"/>
          <w:lang w:val="en-US" w:eastAsia="zh-CN"/>
        </w:rPr>
      </w:pPr>
      <w:r>
        <w:rPr>
          <w:rFonts w:hint="eastAsia" w:ascii="Times New Roman" w:hAnsi="Times New Roman"/>
          <w:b/>
          <w:bCs/>
          <w:i/>
          <w:iCs/>
          <w:sz w:val="20"/>
          <w:szCs w:val="20"/>
          <w:lang w:val="en-US" w:eastAsia="zh-CN"/>
        </w:rPr>
        <w:t xml:space="preserve">the correct behaviour when receiving </w:t>
      </w:r>
      <w:r>
        <w:rPr>
          <w:rFonts w:hint="eastAsia" w:ascii="Times New Roman" w:hAnsi="Times New Roman" w:cs="Times New Roman"/>
          <w:b/>
          <w:bCs/>
          <w:i/>
          <w:iCs/>
          <w:kern w:val="0"/>
          <w:sz w:val="20"/>
          <w:szCs w:val="20"/>
          <w:lang w:val="en-US" w:eastAsia="zh-CN"/>
        </w:rPr>
        <w:t>A-IoT MSG2</w:t>
      </w:r>
    </w:p>
    <w:p w14:paraId="1CB4564A">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kern w:val="0"/>
          <w:sz w:val="20"/>
          <w:szCs w:val="20"/>
          <w:lang w:val="en-US" w:eastAsia="zh-CN"/>
        </w:rPr>
      </w:pPr>
      <w:r>
        <w:rPr>
          <w:rFonts w:hint="eastAsia" w:ascii="Times New Roman" w:hAnsi="Times New Roman"/>
          <w:b/>
          <w:bCs/>
          <w:i/>
          <w:iCs/>
          <w:sz w:val="20"/>
          <w:szCs w:val="20"/>
          <w:lang w:val="en-US" w:eastAsia="zh-CN"/>
        </w:rPr>
        <w:t xml:space="preserve">the correct behaviour when not receiving </w:t>
      </w:r>
      <w:r>
        <w:rPr>
          <w:rFonts w:hint="eastAsia" w:ascii="Times New Roman" w:hAnsi="Times New Roman" w:cs="Times New Roman"/>
          <w:b/>
          <w:bCs/>
          <w:i/>
          <w:iCs/>
          <w:kern w:val="0"/>
          <w:sz w:val="20"/>
          <w:szCs w:val="20"/>
          <w:lang w:val="en-US" w:eastAsia="zh-CN"/>
        </w:rPr>
        <w:t xml:space="preserve">A-IoT MSG2 </w:t>
      </w:r>
    </w:p>
    <w:p w14:paraId="3419313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high level, as shown in Figure 2, A-IoT CFRA includes First D2R message. For CFRA, the A-IoT device shall use the dedicated resource provided in A-IoT paging message to send the first D2R message. </w:t>
      </w:r>
      <w:r>
        <w:rPr>
          <w:rFonts w:hint="eastAsia" w:ascii="Times New Roman" w:hAnsi="Times New Roman" w:cs="Times New Roman"/>
          <w:kern w:val="0"/>
          <w:sz w:val="20"/>
          <w:szCs w:val="20"/>
          <w:lang w:val="en-US" w:eastAsia="zh-CN"/>
        </w:rPr>
        <w:t xml:space="preserve">If we follow the legacy way to capture </w:t>
      </w:r>
      <w:r>
        <w:rPr>
          <w:rFonts w:hint="eastAsia" w:ascii="Times New Roman" w:hAnsi="Times New Roman"/>
          <w:sz w:val="20"/>
          <w:szCs w:val="20"/>
          <w:lang w:val="en-US" w:eastAsia="zh-CN"/>
        </w:rPr>
        <w:t>RRM requirements for correct A-IoT device behaviour during CFRA, the correct behaviour when transmitting First D2R message is needed.</w:t>
      </w:r>
    </w:p>
    <w:p w14:paraId="2ADFE3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 xml:space="preserve">Proposal 2: for RRM requirements on </w:t>
      </w:r>
      <w:r>
        <w:rPr>
          <w:rFonts w:hint="eastAsia" w:ascii="Times New Roman" w:hAnsi="Times New Roman"/>
          <w:b/>
          <w:bCs/>
          <w:i/>
          <w:iCs/>
          <w:sz w:val="20"/>
          <w:szCs w:val="20"/>
          <w:lang w:val="en-US" w:eastAsia="zh-CN"/>
        </w:rPr>
        <w:t xml:space="preserve">A-IoT CFRA, it is proposed to consider </w:t>
      </w:r>
      <w:r>
        <w:rPr>
          <w:rFonts w:hint="eastAsia" w:ascii="Times New Roman" w:hAnsi="Times New Roman" w:cs="Times New Roman"/>
          <w:b/>
          <w:bCs/>
          <w:i/>
          <w:iCs/>
          <w:kern w:val="0"/>
          <w:sz w:val="20"/>
          <w:szCs w:val="20"/>
          <w:lang w:val="en-US" w:eastAsia="zh-CN"/>
        </w:rPr>
        <w:t>following aspects:</w:t>
      </w:r>
    </w:p>
    <w:p w14:paraId="796A77A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the correct behaviour when transmitting First D2R message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3C9F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F4D9F8F">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1-</w:t>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timing</w:t>
            </w:r>
          </w:p>
          <w:p w14:paraId="4463820F">
            <w:pPr>
              <w:rPr>
                <w:rFonts w:hint="default" w:ascii="Times New Roman" w:hAnsi="Times New Roman" w:cs="Times New Roman"/>
                <w:sz w:val="20"/>
                <w:szCs w:val="20"/>
                <w:highlight w:val="green"/>
                <w:lang w:val="sv-SE"/>
              </w:rPr>
            </w:pPr>
            <w:r>
              <w:rPr>
                <w:rFonts w:hint="default" w:ascii="Times New Roman" w:hAnsi="Times New Roman" w:cs="Times New Roman"/>
                <w:sz w:val="20"/>
                <w:szCs w:val="20"/>
                <w:highlight w:val="green"/>
                <w:lang w:val="sv-SE"/>
              </w:rPr>
              <w:t>Agreement:</w:t>
            </w:r>
          </w:p>
          <w:p w14:paraId="44DFAB05">
            <w:pPr>
              <w:numPr>
                <w:ilvl w:val="0"/>
                <w:numId w:val="4"/>
              </w:numPr>
              <w:autoSpaceDN w:val="0"/>
              <w:snapToGrid w:val="0"/>
              <w:spacing w:after="12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Cs/>
                <w:sz w:val="20"/>
                <w:szCs w:val="20"/>
              </w:rPr>
              <w:t>Further discuss whether there is RRM impact on transmit timing requirements of device pending on RAN1 conclusion.</w:t>
            </w:r>
          </w:p>
        </w:tc>
      </w:tr>
    </w:tbl>
    <w:p w14:paraId="091E7F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98B11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sz w:val="20"/>
          <w:szCs w:val="20"/>
          <w:lang w:val="en-US" w:eastAsia="zh-CN"/>
        </w:rPr>
      </w:pPr>
      <w:r>
        <w:rPr>
          <w:rFonts w:hint="eastAsia" w:ascii="Times New Roman" w:hAnsi="Times New Roman"/>
          <w:sz w:val="20"/>
          <w:szCs w:val="20"/>
          <w:lang w:val="en-US" w:eastAsia="zh-CN"/>
        </w:rPr>
        <w:t xml:space="preserve">RAN1 agreements are duplicated as following. It can be seen that RAN1 defined the starting time for the first Msg1 time domain resource, which is reflect by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offset1</w:t>
      </w:r>
      <w:r>
        <w:rPr>
          <w:rFonts w:hint="eastAsia" w:ascii="Times New Roman" w:hAnsi="Times New Roman" w:cs="Times New Roman"/>
          <w:bCs/>
          <w:sz w:val="20"/>
          <w:szCs w:val="20"/>
          <w:vertAlign w:val="subscript"/>
          <w:lang w:val="en-US" w:eastAsia="zh-CN"/>
        </w:rPr>
        <w:t xml:space="preserve"> </w:t>
      </w:r>
      <w:r>
        <w:rPr>
          <w:rFonts w:hint="eastAsia" w:ascii="Times New Roman" w:hAnsi="Times New Roman"/>
          <w:sz w:val="20"/>
          <w:szCs w:val="20"/>
          <w:lang w:val="en-US" w:eastAsia="zh-CN"/>
        </w:rPr>
        <w:t xml:space="preserve">. FFS </w:t>
      </w:r>
      <w:r>
        <w:rPr>
          <w:rFonts w:hint="default" w:ascii="Times New Roman" w:hAnsi="Times New Roman" w:cs="Times New Roman"/>
          <w:bCs/>
          <w:sz w:val="20"/>
          <w:szCs w:val="20"/>
          <w:lang w:val="en-US" w:eastAsia="zh-CN"/>
        </w:rPr>
        <w:t>detailed value(s) of T</w:t>
      </w:r>
      <w:r>
        <w:rPr>
          <w:rFonts w:hint="default" w:ascii="Times New Roman" w:hAnsi="Times New Roman" w:cs="Times New Roman"/>
          <w:bCs/>
          <w:sz w:val="20"/>
          <w:szCs w:val="20"/>
          <w:vertAlign w:val="subscript"/>
          <w:lang w:val="en-US" w:eastAsia="zh-CN"/>
        </w:rPr>
        <w:t>offset1</w:t>
      </w:r>
      <w:r>
        <w:rPr>
          <w:rFonts w:hint="eastAsia" w:ascii="Times New Roman" w:hAnsi="Times New Roman" w:cs="Times New Roman"/>
          <w:bCs/>
          <w:sz w:val="20"/>
          <w:szCs w:val="20"/>
          <w:lang w:val="en-US" w:eastAsia="zh-CN"/>
        </w:rPr>
        <w:t xml:space="preserve">. RAN1 agreed that for any timing requirement that needs to be specified from device perspective by RAN1, the timing(s) do not include the impacts of SFO from the RAN1 perspective, which means that SFO is not considered in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offset1</w:t>
      </w:r>
      <w:r>
        <w:rPr>
          <w:rFonts w:hint="eastAsia" w:ascii="Times New Roman" w:hAnsi="Times New Roman" w:cs="Times New Roman"/>
          <w:bCs/>
          <w:sz w:val="20"/>
          <w:szCs w:val="20"/>
          <w:lang w:val="en-US" w:eastAsia="zh-CN"/>
        </w:rPr>
        <w:t xml:space="preserve">. However, </w:t>
      </w:r>
      <w:r>
        <w:rPr>
          <w:rFonts w:hint="eastAsia" w:ascii="Times New Roman" w:hAnsi="Times New Roman" w:cs="Times New Roman"/>
          <w:bCs/>
          <w:sz w:val="20"/>
          <w:szCs w:val="20"/>
          <w:highlight w:val="none"/>
          <w:lang w:val="en-US" w:eastAsia="zh-CN"/>
        </w:rPr>
        <w:t xml:space="preserve">SFO will impact device own timing, and device tranmit MSG1 may not on the ideal time instance indicated by </w:t>
      </w:r>
      <w:r>
        <w:rPr>
          <w:rFonts w:hint="eastAsia" w:ascii="Times New Roman" w:hAnsi="Times New Roman"/>
          <w:sz w:val="20"/>
          <w:szCs w:val="20"/>
          <w:lang w:val="en-US" w:eastAsia="zh-CN"/>
        </w:rPr>
        <w:t xml:space="preserve">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offset1</w:t>
      </w:r>
      <w:r>
        <w:rPr>
          <w:rFonts w:hint="eastAsia" w:ascii="Times New Roman" w:hAnsi="Times New Roman" w:cs="Times New Roman"/>
          <w:bCs/>
          <w:sz w:val="20"/>
          <w:szCs w:val="20"/>
          <w:highlight w:val="none"/>
          <w:lang w:val="en-US" w:eastAsia="zh-CN"/>
        </w:rPr>
        <w:t xml:space="preserve">. There will be some timing error due to SFO. From this point of view, it is proposed to define transmit timing error requirements, which is impacted due to SFO. </w:t>
      </w:r>
      <w:r>
        <w:rPr>
          <w:rFonts w:hint="eastAsia" w:ascii="Times New Roman" w:hAnsi="Times New Roman" w:cs="Times New Roman"/>
          <w:b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B806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64462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RAN1 agreements in RAN1#120bis</w:t>
            </w:r>
          </w:p>
          <w:p w14:paraId="06B692BC">
            <w:pPr>
              <w:adjustRightInd w:val="0"/>
              <w:snapToGrid w:val="0"/>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00E43389">
            <w:pPr>
              <w:adjustRightInd w:val="0"/>
              <w:snapToGrid w:val="0"/>
              <w:rPr>
                <w:rFonts w:hint="default" w:ascii="Times New Roman" w:hAnsi="Times New Roman" w:cs="Times New Roman"/>
                <w:sz w:val="20"/>
                <w:szCs w:val="20"/>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34EFDD2F">
            <w:pPr>
              <w:numPr>
                <w:ilvl w:val="1"/>
                <w:numId w:val="6"/>
              </w:numPr>
              <w:adjustRightInd w:val="0"/>
              <w:snapToGrid w:val="0"/>
              <w:ind w:hanging="442"/>
              <w:rPr>
                <w:rFonts w:hint="default" w:ascii="Times New Roman" w:hAnsi="Times New Roman" w:cs="Times New Roman"/>
                <w:sz w:val="20"/>
                <w:szCs w:val="20"/>
              </w:rPr>
            </w:pPr>
            <w:r>
              <w:rPr>
                <w:rFonts w:hint="default" w:ascii="Times New Roman" w:hAnsi="Times New Roman" w:cs="Times New Roman"/>
                <w:sz w:val="20"/>
                <w:szCs w:val="20"/>
              </w:rPr>
              <w:t>All devices support the above</w:t>
            </w:r>
          </w:p>
          <w:p w14:paraId="1AE60866">
            <w:pPr>
              <w:numPr>
                <w:ilvl w:val="1"/>
                <w:numId w:val="6"/>
              </w:numPr>
              <w:adjustRightInd w:val="0"/>
              <w:snapToGrid w:val="0"/>
              <w:ind w:hanging="442"/>
              <w:rPr>
                <w:rFonts w:hint="default" w:ascii="Times New Roman" w:hAnsi="Times New Roman" w:cs="Times New Roman"/>
                <w:sz w:val="20"/>
                <w:szCs w:val="20"/>
              </w:rPr>
            </w:pPr>
            <w:r>
              <w:rPr>
                <w:rFonts w:hint="default" w:ascii="Times New Roman" w:hAnsi="Times New Roman" w:cs="Times New Roman"/>
                <w:sz w:val="20"/>
                <w:szCs w:val="20"/>
              </w:rPr>
              <w:t>Note: the impact of specification support (at least including signalling overhead) for X=2 to a reader supporting only X=1 should be minimized</w:t>
            </w:r>
          </w:p>
          <w:p w14:paraId="216674F0">
            <w:pPr>
              <w:adjustRightInd w:val="0"/>
              <w:snapToGrid w:val="0"/>
              <w:rPr>
                <w:rFonts w:hint="default" w:ascii="Times New Roman" w:hAnsi="Times New Roman" w:cs="Times New Roman"/>
                <w:sz w:val="20"/>
                <w:szCs w:val="20"/>
              </w:rPr>
            </w:pPr>
            <w:r>
              <w:rPr>
                <w:rFonts w:hint="default" w:ascii="Times New Roman" w:hAnsi="Times New Roman" w:cs="Times New Roman"/>
                <w:sz w:val="20"/>
                <w:szCs w:val="20"/>
              </w:rPr>
              <w:t>Only support X=1 time domain resource for D2R transmission for Msg3 in response to a PRDCH for Msg2 transmission.</w:t>
            </w:r>
          </w:p>
          <w:p w14:paraId="4B0AA0E8">
            <w:pPr>
              <w:adjustRightInd w:val="0"/>
              <w:snapToGrid w:val="0"/>
              <w:rPr>
                <w:rFonts w:hint="default" w:ascii="Times New Roman" w:hAnsi="Times New Roman" w:cs="Times New Roman"/>
                <w:sz w:val="20"/>
                <w:szCs w:val="20"/>
              </w:rPr>
            </w:pPr>
          </w:p>
          <w:p w14:paraId="2F540422">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2C6C9F64">
            <w:pPr>
              <w:adjustRightInd w:val="0"/>
              <w:snapToGrid w:val="0"/>
              <w:jc w:val="both"/>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earlier than T</w:t>
            </w:r>
            <w:r>
              <w:rPr>
                <w:rFonts w:hint="default" w:ascii="Times New Roman" w:hAnsi="Times New Roman" w:eastAsia="等线" w:cs="Times New Roman"/>
                <w:bCs/>
                <w:color w:val="000000" w:themeColor="text1"/>
                <w:sz w:val="20"/>
                <w:szCs w:val="20"/>
                <w:vertAlign w:val="subscript"/>
                <w:lang w:val="en-US" w:eastAsia="ja-JP"/>
                <w14:textFill>
                  <w14:solidFill>
                    <w14:schemeClr w14:val="tx1"/>
                  </w14:solidFill>
                </w14:textFill>
              </w:rPr>
              <w:t>D2R_min</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 xml:space="preserve">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after the end of a D2R transmission from the device. </w:t>
            </w:r>
          </w:p>
          <w:p w14:paraId="142D73D7">
            <w:pPr>
              <w:rPr>
                <w:rFonts w:hint="default" w:ascii="Times New Roman" w:hAnsi="Times New Roman" w:cs="Times New Roman"/>
                <w:sz w:val="20"/>
                <w:szCs w:val="20"/>
                <w:lang w:eastAsia="zh-CN"/>
              </w:rPr>
            </w:pPr>
          </w:p>
          <w:p w14:paraId="46DD4348">
            <w:pPr>
              <w:pStyle w:val="21"/>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Conclusion</w:t>
            </w:r>
          </w:p>
          <w:p w14:paraId="08915B73">
            <w:pPr>
              <w:snapToGrid w:val="0"/>
              <w:jc w:val="both"/>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For any timing requirement that needs to be specified from device perspective by RAN1, the timing(s) do not include the impacts of SFO from the RAN1 perspective.</w:t>
            </w:r>
          </w:p>
          <w:p w14:paraId="60F70407">
            <w:pPr>
              <w:numPr>
                <w:ilvl w:val="1"/>
                <w:numId w:val="7"/>
              </w:numPr>
              <w:snapToGrid w:val="0"/>
              <w:ind w:hanging="442"/>
              <w:jc w:val="both"/>
              <w:rPr>
                <w:rFonts w:hint="default" w:ascii="Times New Roman" w:hAnsi="Times New Roman" w:cs="Times New Roman"/>
                <w:sz w:val="20"/>
                <w:szCs w:val="20"/>
                <w:lang w:val="en-US" w:eastAsia="zh-CN"/>
              </w:rPr>
            </w:pPr>
            <w:r>
              <w:rPr>
                <w:rFonts w:hint="default" w:ascii="Times New Roman" w:hAnsi="Times New Roman" w:cs="Times New Roman"/>
                <w:bCs/>
                <w:sz w:val="20"/>
                <w:szCs w:val="20"/>
              </w:rPr>
              <w:t>Whether 3GPP needs to specify some requirement on device’s SFO is up to RAN4 discussion</w:t>
            </w:r>
            <w:r>
              <w:rPr>
                <w:rFonts w:hint="default" w:ascii="Times New Roman" w:hAnsi="Times New Roman" w:eastAsia="宋体" w:cs="Times New Roman"/>
                <w:bCs/>
                <w:sz w:val="20"/>
                <w:szCs w:val="20"/>
                <w:lang w:val="en-US" w:eastAsia="zh-CN"/>
              </w:rPr>
              <w:t>.</w:t>
            </w:r>
          </w:p>
          <w:p w14:paraId="40E568DF">
            <w:pPr>
              <w:numPr>
                <w:ilvl w:val="1"/>
                <w:numId w:val="7"/>
              </w:numPr>
              <w:snapToGrid w:val="0"/>
              <w:ind w:hanging="442"/>
              <w:jc w:val="both"/>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Note: RAN1 will not specify T</w:t>
            </w:r>
            <w:r>
              <w:rPr>
                <w:rFonts w:hint="default" w:ascii="Times New Roman" w:hAnsi="Times New Roman" w:eastAsia="宋体" w:cs="Times New Roman"/>
                <w:bCs/>
                <w:sz w:val="20"/>
                <w:szCs w:val="20"/>
                <w:vertAlign w:val="subscript"/>
                <w:lang w:val="en-US" w:eastAsia="zh-CN"/>
              </w:rPr>
              <w:t>R2D_min</w:t>
            </w:r>
            <w:r>
              <w:rPr>
                <w:rFonts w:hint="default" w:ascii="Times New Roman" w:hAnsi="Times New Roman" w:eastAsia="宋体" w:cs="Times New Roman"/>
                <w:bCs/>
                <w:sz w:val="20"/>
                <w:szCs w:val="20"/>
                <w:lang w:val="en-US" w:eastAsia="zh-CN"/>
              </w:rPr>
              <w:t xml:space="preserve"> or T</w:t>
            </w:r>
            <w:r>
              <w:rPr>
                <w:rFonts w:hint="default" w:ascii="Times New Roman" w:hAnsi="Times New Roman" w:eastAsia="宋体" w:cs="Times New Roman"/>
                <w:bCs/>
                <w:sz w:val="20"/>
                <w:szCs w:val="20"/>
                <w:vertAlign w:val="subscript"/>
                <w:lang w:val="en-US" w:eastAsia="zh-CN"/>
              </w:rPr>
              <w:t>R2D_max</w:t>
            </w:r>
            <w:r>
              <w:rPr>
                <w:rFonts w:hint="default" w:ascii="Times New Roman" w:hAnsi="Times New Roman" w:eastAsia="宋体" w:cs="Times New Roman"/>
                <w:bCs/>
                <w:sz w:val="20"/>
                <w:szCs w:val="20"/>
                <w:lang w:val="en-US" w:eastAsia="zh-CN"/>
              </w:rPr>
              <w:t xml:space="preserve"> in Rel-19</w:t>
            </w:r>
          </w:p>
          <w:p w14:paraId="1171F9C1">
            <w:pPr>
              <w:numPr>
                <w:ilvl w:val="1"/>
                <w:numId w:val="7"/>
              </w:numPr>
              <w:snapToGrid w:val="0"/>
              <w:ind w:hanging="442"/>
              <w:jc w:val="both"/>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Note: SFO may still be considered when discussing time-domain resources for Msg1 when X=2</w:t>
            </w:r>
          </w:p>
          <w:p w14:paraId="68EC1EA6">
            <w:pPr>
              <w:rPr>
                <w:rFonts w:hint="default" w:ascii="Times New Roman" w:hAnsi="Times New Roman" w:cs="Times New Roman"/>
                <w:b/>
                <w:bCs/>
                <w:sz w:val="20"/>
                <w:szCs w:val="20"/>
                <w:lang w:val="en-US" w:eastAsia="zh-CN"/>
              </w:rPr>
            </w:pPr>
          </w:p>
          <w:p w14:paraId="3FC9414F">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5EA3B296">
            <w:pPr>
              <w:adjustRightInd w:val="0"/>
              <w:snapToGrid w:val="0"/>
              <w:jc w:val="both"/>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Use 1 bit to indicate the value of X (X=1 or X=2) time domain resource(s) for Msg1 transmission(s).</w:t>
            </w:r>
          </w:p>
          <w:p w14:paraId="446FCE02">
            <w:pPr>
              <w:rPr>
                <w:rFonts w:hint="default" w:ascii="Times New Roman" w:hAnsi="Times New Roman" w:cs="Times New Roman"/>
                <w:sz w:val="20"/>
                <w:szCs w:val="20"/>
                <w:lang w:val="en-US" w:eastAsia="zh-CN"/>
              </w:rPr>
            </w:pPr>
          </w:p>
          <w:p w14:paraId="7EE8487F">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0542C1AA">
            <w:pPr>
              <w:snapToGrid w:val="0"/>
              <w:jc w:val="both"/>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 xml:space="preserve">For X=1 or X=2, from device perspective, the starting time for the first Msg1 time domain resource is </w:t>
            </w:r>
          </w:p>
          <w:p w14:paraId="1AFF5A63">
            <w:pPr>
              <w:numPr>
                <w:ilvl w:val="1"/>
                <w:numId w:val="7"/>
              </w:numPr>
              <w:snapToGrid w:val="0"/>
              <w:ind w:hanging="442"/>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T</w:t>
            </w:r>
            <w:r>
              <w:rPr>
                <w:rFonts w:hint="default" w:ascii="Times New Roman" w:hAnsi="Times New Roman" w:cs="Times New Roman"/>
                <w:bCs/>
                <w:sz w:val="20"/>
                <w:szCs w:val="20"/>
                <w:vertAlign w:val="subscript"/>
                <w:lang w:val="en-US" w:eastAsia="zh-CN"/>
              </w:rPr>
              <w:t>offset1</w:t>
            </w:r>
            <w:r>
              <w:rPr>
                <w:rFonts w:hint="default" w:ascii="Times New Roman" w:hAnsi="Times New Roman" w:cs="Times New Roman"/>
                <w:bCs/>
                <w:sz w:val="20"/>
                <w:szCs w:val="20"/>
                <w:lang w:val="en-US" w:eastAsia="zh-CN"/>
              </w:rPr>
              <w:t xml:space="preserve"> is predefined in the spec or indicated implicitly or explicitly by the R2D transmission triggering random access.</w:t>
            </w:r>
          </w:p>
          <w:p w14:paraId="5FF1FB06">
            <w:pPr>
              <w:numPr>
                <w:ilvl w:val="1"/>
                <w:numId w:val="7"/>
              </w:numPr>
              <w:snapToGrid w:val="0"/>
              <w:ind w:hanging="442"/>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detailed value(s) of T</w:t>
            </w:r>
            <w:r>
              <w:rPr>
                <w:rFonts w:hint="default" w:ascii="Times New Roman" w:hAnsi="Times New Roman" w:cs="Times New Roman"/>
                <w:bCs/>
                <w:sz w:val="20"/>
                <w:szCs w:val="20"/>
                <w:vertAlign w:val="subscript"/>
                <w:lang w:val="en-US" w:eastAsia="zh-CN"/>
              </w:rPr>
              <w:t>offset1,</w:t>
            </w:r>
            <w:r>
              <w:rPr>
                <w:rFonts w:hint="default" w:ascii="Times New Roman" w:hAnsi="Times New Roman" w:cs="Times New Roman"/>
                <w:bCs/>
                <w:sz w:val="20"/>
                <w:szCs w:val="20"/>
                <w:lang w:val="en-US" w:eastAsia="zh-CN"/>
              </w:rPr>
              <w:t xml:space="preserve"> considering at least the device processing time including FEC impact</w:t>
            </w:r>
          </w:p>
          <w:p w14:paraId="73F784ED">
            <w:pPr>
              <w:numPr>
                <w:ilvl w:val="1"/>
                <w:numId w:val="7"/>
              </w:numPr>
              <w:snapToGrid w:val="0"/>
              <w:ind w:hanging="442"/>
              <w:jc w:val="both"/>
              <w:rPr>
                <w:rFonts w:hint="default" w:ascii="Times New Roman" w:hAnsi="Times New Roman" w:cs="Times New Roman"/>
                <w:bCs/>
                <w:sz w:val="20"/>
                <w:szCs w:val="20"/>
                <w:lang w:val="en-US" w:eastAsia="zh-CN"/>
              </w:rPr>
            </w:pPr>
            <w:r>
              <w:rPr>
                <w:rFonts w:hint="default" w:ascii="Times New Roman" w:hAnsi="Times New Roman" w:eastAsia="等线" w:cs="Times New Roman"/>
                <w:bCs/>
                <w:sz w:val="20"/>
                <w:szCs w:val="20"/>
                <w:lang w:val="en-US" w:eastAsia="zh-CN"/>
              </w:rPr>
              <w:t>FFS: how to define the end of the R2D transmission in 9.4.1</w:t>
            </w:r>
          </w:p>
          <w:p w14:paraId="3231F9CC">
            <w:pPr>
              <w:rPr>
                <w:rFonts w:hint="default" w:ascii="Times New Roman" w:hAnsi="Times New Roman" w:cs="Times New Roman"/>
                <w:sz w:val="20"/>
                <w:szCs w:val="20"/>
                <w:lang w:eastAsia="zh-CN"/>
              </w:rPr>
            </w:pPr>
          </w:p>
          <w:p w14:paraId="3B87FBD5">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darkYellow"/>
                <w:lang w:val="en-US" w:eastAsia="zh-CN"/>
              </w:rPr>
              <w:t>Working assumption</w:t>
            </w:r>
          </w:p>
          <w:p w14:paraId="7F62E6DC">
            <w:pPr>
              <w:adjustRightInd w:val="0"/>
              <w:snapToGrid w:val="0"/>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For X=2, </w:t>
            </w:r>
            <w:r>
              <w:rPr>
                <w:rFonts w:hint="default" w:ascii="Times New Roman" w:hAnsi="Times New Roman" w:cs="Times New Roman"/>
                <w:bCs/>
                <w:sz w:val="20"/>
                <w:szCs w:val="20"/>
                <w:lang w:val="en-US" w:eastAsia="zh-CN"/>
              </w:rPr>
              <w:t>from device perspective,</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579B8E5F">
            <w:pPr>
              <w:numPr>
                <w:ilvl w:val="1"/>
                <w:numId w:val="8"/>
              </w:numPr>
              <w:snapToGrid w:val="0"/>
              <w:jc w:val="both"/>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default" w:ascii="Times New Roman" w:hAnsi="Times New Roman" w:eastAsia="等线" w:cs="Times New Roman"/>
                <w:bCs/>
                <w:color w:val="000000" w:themeColor="text1"/>
                <w:sz w:val="20"/>
                <w:szCs w:val="20"/>
                <w:vertAlign w:val="subscript"/>
                <w:lang w:val="en-US" w:eastAsia="zh-CN"/>
                <w14:textFill>
                  <w14:solidFill>
                    <w14:schemeClr w14:val="tx1"/>
                  </w14:solidFill>
                </w14:textFill>
              </w:rPr>
              <w:t>offset2</w:t>
            </w:r>
          </w:p>
          <w:p w14:paraId="09BCA0C8">
            <w:pPr>
              <w:numPr>
                <w:ilvl w:val="1"/>
                <w:numId w:val="8"/>
              </w:numPr>
              <w:snapToGrid w:val="0"/>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T</w:t>
            </w:r>
            <w:r>
              <w:rPr>
                <w:rFonts w:hint="default" w:ascii="Times New Roman" w:hAnsi="Times New Roman" w:cs="Times New Roman"/>
                <w:bCs/>
                <w:sz w:val="20"/>
                <w:szCs w:val="20"/>
                <w:vertAlign w:val="subscript"/>
                <w:lang w:val="en-US" w:eastAsia="zh-CN"/>
              </w:rPr>
              <w:t>offset2</w:t>
            </w:r>
            <w:r>
              <w:rPr>
                <w:rFonts w:hint="default" w:ascii="Times New Roman" w:hAnsi="Times New Roman" w:cs="Times New Roman"/>
                <w:bCs/>
                <w:sz w:val="20"/>
                <w:szCs w:val="20"/>
                <w:lang w:val="en-US" w:eastAsia="zh-CN"/>
              </w:rPr>
              <w:t xml:space="preserve"> is predefined in the spec or derived by a rule or indicated implicitly or explicitly by the R2D transmission triggering random access.</w:t>
            </w:r>
          </w:p>
          <w:p w14:paraId="2BA955B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7EAC6F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87C53E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it is proposed to define device transmit timing error requirements due to SFO. </w:t>
      </w:r>
    </w:p>
    <w:p w14:paraId="2FB858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addition to define requirements, how to test is also very important. For legacy UE transmit timing test, the transmit timing is verified by the UE transmitting SRS. After connection set up with the cell, the test equipment will verify that the timing of the NR cell is within (N</w:t>
      </w:r>
      <w:r>
        <w:rPr>
          <w:rFonts w:hint="eastAsia" w:ascii="Times New Roman" w:hAnsi="Times New Roman"/>
          <w:sz w:val="20"/>
          <w:szCs w:val="20"/>
          <w:vertAlign w:val="subscript"/>
          <w:lang w:val="en-US" w:eastAsia="zh-CN"/>
        </w:rPr>
        <w:t>TA</w:t>
      </w:r>
      <w:r>
        <w:rPr>
          <w:rFonts w:hint="eastAsia" w:ascii="Times New Roman" w:hAnsi="Times New Roman"/>
          <w:sz w:val="20"/>
          <w:szCs w:val="20"/>
          <w:lang w:val="en-US" w:eastAsia="zh-CN"/>
        </w:rPr>
        <w:t xml:space="preserve"> + N</w:t>
      </w:r>
      <w:r>
        <w:rPr>
          <w:rFonts w:hint="eastAsia" w:ascii="Times New Roman" w:hAnsi="Times New Roman"/>
          <w:sz w:val="20"/>
          <w:szCs w:val="20"/>
          <w:vertAlign w:val="subscript"/>
          <w:lang w:val="en-US" w:eastAsia="zh-CN"/>
        </w:rPr>
        <w:t>TA_offset</w:t>
      </w:r>
      <w:r>
        <w:rPr>
          <w:rFonts w:hint="eastAsia" w:ascii="Times New Roman" w:hAnsi="Times New Roman"/>
          <w:sz w:val="20"/>
          <w:szCs w:val="20"/>
          <w:lang w:val="en-US" w:eastAsia="zh-CN"/>
        </w:rPr>
        <w:t>) ×T</w:t>
      </w:r>
      <w:r>
        <w:rPr>
          <w:rFonts w:hint="eastAsia" w:ascii="Times New Roman" w:hAnsi="Times New Roman"/>
          <w:sz w:val="20"/>
          <w:szCs w:val="20"/>
          <w:vertAlign w:val="subscript"/>
          <w:lang w:val="en-US" w:eastAsia="zh-CN"/>
        </w:rPr>
        <w:t>c</w:t>
      </w:r>
      <w:r>
        <w:rPr>
          <w:rFonts w:hint="eastAsia" w:ascii="Times New Roman" w:hAnsi="Times New Roman"/>
          <w:sz w:val="20"/>
          <w:szCs w:val="20"/>
          <w:lang w:val="en-US" w:eastAsia="zh-CN"/>
        </w:rPr>
        <w:t xml:space="preserve"> ± T</w:t>
      </w:r>
      <w:r>
        <w:rPr>
          <w:rFonts w:hint="eastAsia" w:ascii="Times New Roman" w:hAnsi="Times New Roman"/>
          <w:sz w:val="20"/>
          <w:szCs w:val="20"/>
          <w:vertAlign w:val="subscript"/>
          <w:lang w:val="en-US" w:eastAsia="zh-CN"/>
        </w:rPr>
        <w:t>e</w:t>
      </w:r>
      <w:r>
        <w:rPr>
          <w:rFonts w:hint="eastAsia" w:ascii="Times New Roman" w:hAnsi="Times New Roman"/>
          <w:sz w:val="20"/>
          <w:szCs w:val="20"/>
          <w:lang w:val="en-US" w:eastAsia="zh-CN"/>
        </w:rPr>
        <w:t xml:space="preserve"> of the first detected path of DL SSB. Similarly, for A-IoT, the transmit timing is verified by device D2R transmission. Taking RACH as an example, the test equipment will verify that the timing of the device is within  a period, e.g.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offset1</w:t>
      </w:r>
      <w:r>
        <w:rPr>
          <w:rFonts w:hint="eastAsia" w:ascii="Times New Roman" w:hAnsi="Times New Roman"/>
          <w:sz w:val="20"/>
          <w:szCs w:val="20"/>
          <w:lang w:val="en-US" w:eastAsia="zh-CN"/>
        </w:rPr>
        <w:t xml:space="preserve"> ± T</w:t>
      </w:r>
      <w:r>
        <w:rPr>
          <w:rFonts w:hint="eastAsia" w:ascii="Times New Roman" w:hAnsi="Times New Roman"/>
          <w:sz w:val="20"/>
          <w:szCs w:val="20"/>
          <w:vertAlign w:val="subscript"/>
          <w:lang w:val="en-US" w:eastAsia="zh-CN"/>
        </w:rPr>
        <w:t>e_</w:t>
      </w:r>
      <w:r>
        <w:rPr>
          <w:rFonts w:hint="eastAsia" w:ascii="Times New Roman" w:hAnsi="Times New Roman"/>
          <w:sz w:val="20"/>
          <w:szCs w:val="20"/>
          <w:vertAlign w:val="baseline"/>
          <w:lang w:val="en-US" w:eastAsia="zh-CN"/>
        </w:rPr>
        <w:t xml:space="preserve">SFO), </w:t>
      </w:r>
      <w:r>
        <w:rPr>
          <w:rFonts w:hint="eastAsia" w:ascii="Times New Roman" w:hAnsi="Times New Roman"/>
          <w:sz w:val="20"/>
          <w:szCs w:val="20"/>
          <w:lang w:val="en-US" w:eastAsia="zh-CN"/>
        </w:rPr>
        <w:t xml:space="preserve"> of </w:t>
      </w:r>
      <w:r>
        <w:rPr>
          <w:rFonts w:hint="default" w:ascii="Times New Roman" w:hAnsi="Times New Roman" w:cs="Times New Roman"/>
          <w:bCs/>
          <w:sz w:val="20"/>
          <w:szCs w:val="20"/>
          <w:lang w:val="en-US" w:eastAsia="zh-CN"/>
        </w:rPr>
        <w:t xml:space="preserve">the </w:t>
      </w:r>
      <w:r>
        <w:rPr>
          <w:rFonts w:hint="eastAsia" w:ascii="Times New Roman" w:hAnsi="Times New Roman" w:cs="Times New Roman"/>
          <w:bCs/>
          <w:sz w:val="20"/>
          <w:szCs w:val="20"/>
          <w:lang w:val="en-US" w:eastAsia="zh-CN"/>
        </w:rPr>
        <w:t xml:space="preserve">end the corresponding </w:t>
      </w:r>
      <w:r>
        <w:rPr>
          <w:rFonts w:hint="default" w:ascii="Times New Roman" w:hAnsi="Times New Roman" w:cs="Times New Roman"/>
          <w:bCs/>
          <w:sz w:val="20"/>
          <w:szCs w:val="20"/>
          <w:lang w:val="en-US" w:eastAsia="zh-CN"/>
        </w:rPr>
        <w:t>R2D transmission triggering</w:t>
      </w:r>
      <w:r>
        <w:rPr>
          <w:rFonts w:hint="eastAsia"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eastAsia="zh-CN"/>
        </w:rPr>
        <w:t>random access</w:t>
      </w:r>
      <w:r>
        <w:rPr>
          <w:rFonts w:hint="eastAsia" w:ascii="Times New Roman" w:hAnsi="Times New Roman"/>
          <w:sz w:val="20"/>
          <w:szCs w:val="20"/>
          <w:lang w:val="en-US" w:eastAsia="zh-CN"/>
        </w:rPr>
        <w:t xml:space="preserve">.  </w:t>
      </w:r>
    </w:p>
    <w:p w14:paraId="36A668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For RACH</w:t>
      </w:r>
      <w:bookmarkStart w:id="8" w:name="_GoBack"/>
      <w:bookmarkEnd w:id="8"/>
      <w:r>
        <w:rPr>
          <w:rFonts w:hint="eastAsia" w:ascii="Times New Roman" w:hAnsi="Times New Roman"/>
          <w:b/>
          <w:bCs/>
          <w:i/>
          <w:iCs/>
          <w:sz w:val="20"/>
          <w:szCs w:val="20"/>
          <w:lang w:val="en-US" w:eastAsia="zh-CN"/>
        </w:rPr>
        <w:t xml:space="preserve">, the transmit timing is verified by the device D2R transmission, and the test equipment will verify that the timing of the device is within a period of </w:t>
      </w:r>
      <w:r>
        <w:rPr>
          <w:rFonts w:hint="default" w:ascii="Times New Roman" w:hAnsi="Times New Roman"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 xml:space="preserve">end the corresponding </w:t>
      </w:r>
      <w:r>
        <w:rPr>
          <w:rFonts w:hint="default" w:ascii="Times New Roman" w:hAnsi="Times New Roman" w:cs="Times New Roman"/>
          <w:b/>
          <w:bCs/>
          <w:i/>
          <w:iCs/>
          <w:sz w:val="20"/>
          <w:szCs w:val="20"/>
          <w:lang w:val="en-US" w:eastAsia="zh-CN"/>
        </w:rPr>
        <w:t>R2D transmission triggering</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random access</w:t>
      </w:r>
      <w:r>
        <w:rPr>
          <w:rFonts w:hint="eastAsia" w:ascii="Times New Roman" w:hAnsi="Times New Roman" w:cs="Times New Roman"/>
          <w:b/>
          <w:bCs/>
          <w:i/>
          <w:iCs/>
          <w:sz w:val="20"/>
          <w:szCs w:val="20"/>
          <w:lang w:val="en-US" w:eastAsia="zh-CN"/>
        </w:rPr>
        <w:t xml:space="preserve">, where the period is related with </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offset1</w:t>
      </w:r>
      <w:r>
        <w:rPr>
          <w:rFonts w:hint="eastAsia" w:ascii="Times New Roman" w:hAnsi="Times New Roman" w:cs="Times New Roman"/>
          <w:b/>
          <w:bCs/>
          <w:i/>
          <w:iCs/>
          <w:sz w:val="20"/>
          <w:szCs w:val="20"/>
          <w:vertAlign w:val="baseline"/>
          <w:lang w:val="en-US" w:eastAsia="zh-CN"/>
        </w:rPr>
        <w:t xml:space="preserve"> and timing error due to SFO</w:t>
      </w:r>
      <w:r>
        <w:rPr>
          <w:rFonts w:hint="eastAsia" w:ascii="Times New Roman" w:hAnsi="Times New Roman"/>
          <w:b/>
          <w:bCs/>
          <w:i/>
          <w:iCs/>
          <w:sz w:val="20"/>
          <w:szCs w:val="20"/>
          <w:lang w:val="en-US" w:eastAsia="zh-CN"/>
        </w:rPr>
        <w:t>.</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RRM requirements for A-IoT</w:t>
      </w:r>
      <w:r>
        <w:rPr>
          <w:rFonts w:hint="eastAsia" w:ascii="Times New Roman" w:hAnsi="Times New Roman"/>
          <w:sz w:val="20"/>
          <w:szCs w:val="20"/>
          <w:highlight w:val="none"/>
        </w:rPr>
        <w:t>. The proposals are:</w:t>
      </w:r>
    </w:p>
    <w:p w14:paraId="2F9C859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 xml:space="preserve">Proposal 1: for RRM requirements on </w:t>
      </w:r>
      <w:r>
        <w:rPr>
          <w:rFonts w:hint="eastAsia" w:ascii="Times New Roman" w:hAnsi="Times New Roman"/>
          <w:b/>
          <w:bCs/>
          <w:i/>
          <w:iCs/>
          <w:sz w:val="20"/>
          <w:szCs w:val="20"/>
          <w:lang w:val="en-US" w:eastAsia="zh-CN"/>
        </w:rPr>
        <w:t xml:space="preserve">A-IoT CBRA, it is proposed to consider </w:t>
      </w:r>
      <w:r>
        <w:rPr>
          <w:rFonts w:hint="eastAsia" w:ascii="Times New Roman" w:hAnsi="Times New Roman" w:cs="Times New Roman"/>
          <w:b/>
          <w:bCs/>
          <w:i/>
          <w:iCs/>
          <w:kern w:val="0"/>
          <w:sz w:val="20"/>
          <w:szCs w:val="20"/>
          <w:lang w:val="en-US" w:eastAsia="zh-CN"/>
        </w:rPr>
        <w:t>following aspects:</w:t>
      </w:r>
    </w:p>
    <w:p w14:paraId="629EE8FD">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the correct behaviour when transmitting A-IoT MSG1</w:t>
      </w:r>
    </w:p>
    <w:p w14:paraId="65ADC452">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b/>
          <w:bCs/>
          <w:i/>
          <w:iCs/>
          <w:kern w:val="0"/>
          <w:sz w:val="20"/>
          <w:szCs w:val="20"/>
          <w:lang w:val="en-US" w:eastAsia="zh-CN"/>
        </w:rPr>
      </w:pPr>
      <w:r>
        <w:rPr>
          <w:rFonts w:hint="eastAsia" w:ascii="Times New Roman" w:hAnsi="Times New Roman"/>
          <w:b/>
          <w:bCs/>
          <w:i/>
          <w:iCs/>
          <w:sz w:val="20"/>
          <w:szCs w:val="20"/>
          <w:lang w:val="en-US" w:eastAsia="zh-CN"/>
        </w:rPr>
        <w:t xml:space="preserve">the correct behaviour when receiving </w:t>
      </w:r>
      <w:r>
        <w:rPr>
          <w:rFonts w:hint="eastAsia" w:ascii="Times New Roman" w:hAnsi="Times New Roman" w:cs="Times New Roman"/>
          <w:b/>
          <w:bCs/>
          <w:i/>
          <w:iCs/>
          <w:kern w:val="0"/>
          <w:sz w:val="20"/>
          <w:szCs w:val="20"/>
          <w:lang w:val="en-US" w:eastAsia="zh-CN"/>
        </w:rPr>
        <w:t>A-IoT MSG2</w:t>
      </w:r>
    </w:p>
    <w:p w14:paraId="32B548C5">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kern w:val="0"/>
          <w:sz w:val="20"/>
          <w:szCs w:val="20"/>
          <w:lang w:val="en-US" w:eastAsia="zh-CN"/>
        </w:rPr>
      </w:pPr>
      <w:r>
        <w:rPr>
          <w:rFonts w:hint="eastAsia" w:ascii="Times New Roman" w:hAnsi="Times New Roman"/>
          <w:b/>
          <w:bCs/>
          <w:i/>
          <w:iCs/>
          <w:sz w:val="20"/>
          <w:szCs w:val="20"/>
          <w:lang w:val="en-US" w:eastAsia="zh-CN"/>
        </w:rPr>
        <w:t xml:space="preserve">the correct behaviour when not receiving </w:t>
      </w:r>
      <w:r>
        <w:rPr>
          <w:rFonts w:hint="eastAsia" w:ascii="Times New Roman" w:hAnsi="Times New Roman" w:cs="Times New Roman"/>
          <w:b/>
          <w:bCs/>
          <w:i/>
          <w:iCs/>
          <w:kern w:val="0"/>
          <w:sz w:val="20"/>
          <w:szCs w:val="20"/>
          <w:lang w:val="en-US" w:eastAsia="zh-CN"/>
        </w:rPr>
        <w:t xml:space="preserve">A-IoT MSG2 </w:t>
      </w:r>
    </w:p>
    <w:p w14:paraId="454AB9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 xml:space="preserve">Proposal 2: for RRM requirements on </w:t>
      </w:r>
      <w:r>
        <w:rPr>
          <w:rFonts w:hint="eastAsia" w:ascii="Times New Roman" w:hAnsi="Times New Roman"/>
          <w:b/>
          <w:bCs/>
          <w:i/>
          <w:iCs/>
          <w:sz w:val="20"/>
          <w:szCs w:val="20"/>
          <w:lang w:val="en-US" w:eastAsia="zh-CN"/>
        </w:rPr>
        <w:t xml:space="preserve">A-IoT CFRA, it is proposed to consider </w:t>
      </w:r>
      <w:r>
        <w:rPr>
          <w:rFonts w:hint="eastAsia" w:ascii="Times New Roman" w:hAnsi="Times New Roman" w:cs="Times New Roman"/>
          <w:b/>
          <w:bCs/>
          <w:i/>
          <w:iCs/>
          <w:kern w:val="0"/>
          <w:sz w:val="20"/>
          <w:szCs w:val="20"/>
          <w:lang w:val="en-US" w:eastAsia="zh-CN"/>
        </w:rPr>
        <w:t>following aspects:</w:t>
      </w:r>
    </w:p>
    <w:p w14:paraId="61F6561D">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the correct behaviour when transmitting First D2R message</w:t>
      </w:r>
    </w:p>
    <w:p w14:paraId="2486C0C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it is proposed to define device transmit timing error requirements due to SFO. </w:t>
      </w:r>
    </w:p>
    <w:p w14:paraId="53A9277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4: For RACH, the transmit timing is verified by the device D2R transmission, and the test equipment will verify that the timing of the device is within a period of </w:t>
      </w:r>
      <w:r>
        <w:rPr>
          <w:rFonts w:hint="default" w:ascii="Times New Roman" w:hAnsi="Times New Roman"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 xml:space="preserve">end the corresponding </w:t>
      </w:r>
      <w:r>
        <w:rPr>
          <w:rFonts w:hint="default" w:ascii="Times New Roman" w:hAnsi="Times New Roman" w:cs="Times New Roman"/>
          <w:b/>
          <w:bCs/>
          <w:i/>
          <w:iCs/>
          <w:sz w:val="20"/>
          <w:szCs w:val="20"/>
          <w:lang w:val="en-US" w:eastAsia="zh-CN"/>
        </w:rPr>
        <w:t>R2D transmission triggering</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random access</w:t>
      </w:r>
      <w:r>
        <w:rPr>
          <w:rFonts w:hint="eastAsia" w:ascii="Times New Roman" w:hAnsi="Times New Roman" w:cs="Times New Roman"/>
          <w:b/>
          <w:bCs/>
          <w:i/>
          <w:iCs/>
          <w:sz w:val="20"/>
          <w:szCs w:val="20"/>
          <w:lang w:val="en-US" w:eastAsia="zh-CN"/>
        </w:rPr>
        <w:t xml:space="preserve">, where the period is related with </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offset1</w:t>
      </w:r>
      <w:r>
        <w:rPr>
          <w:rFonts w:hint="eastAsia" w:ascii="Times New Roman" w:hAnsi="Times New Roman" w:cs="Times New Roman"/>
          <w:b/>
          <w:bCs/>
          <w:i/>
          <w:iCs/>
          <w:sz w:val="20"/>
          <w:szCs w:val="20"/>
          <w:vertAlign w:val="baseline"/>
          <w:lang w:val="en-US" w:eastAsia="zh-CN"/>
        </w:rPr>
        <w:t xml:space="preserve"> and timing error due to SFO</w:t>
      </w:r>
      <w:r>
        <w:rPr>
          <w:rFonts w:hint="eastAsia" w:ascii="Times New Roman" w:hAnsi="Times New Roman"/>
          <w:b/>
          <w:bCs/>
          <w:i/>
          <w:iCs/>
          <w:sz w:val="20"/>
          <w:szCs w:val="20"/>
          <w:lang w:val="en-US" w:eastAsia="zh-CN"/>
        </w:rPr>
        <w:t>.</w:t>
      </w: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4"/>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50796</w:t>
      </w:r>
      <w:r>
        <w:rPr>
          <w:rFonts w:ascii="Times" w:hAnsi="Times" w:eastAsia="宋体"/>
          <w:b w:val="0"/>
          <w:sz w:val="20"/>
          <w:lang w:eastAsia="zh-CN"/>
        </w:rPr>
        <w:t xml:space="preserve">, </w:t>
      </w:r>
      <w:r>
        <w:rPr>
          <w:rFonts w:hint="eastAsia" w:ascii="Times" w:hAnsi="Times" w:eastAsia="宋体"/>
          <w:b w:val="0"/>
          <w:sz w:val="20"/>
          <w:lang w:eastAsia="zh-CN"/>
        </w:rPr>
        <w:t>Revised WID: New Work Item: Solutions for Ambient IoT (Internet of Things) in NR</w:t>
      </w:r>
      <w:r>
        <w:rPr>
          <w:rFonts w:hint="eastAsia" w:ascii="Times" w:hAnsi="Times" w:eastAsia="宋体"/>
          <w:b w:val="0"/>
          <w:sz w:val="20"/>
          <w:lang w:val="en-US" w:eastAsia="zh-CN"/>
        </w:rPr>
        <w:t>, CMCC, Huawei, T-Mobile USA Inc</w:t>
      </w:r>
    </w:p>
    <w:p w14:paraId="2E8D8ED0">
      <w:pPr>
        <w:pStyle w:val="14"/>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Ambient_IoT_Solutions</w:t>
      </w:r>
      <w:r>
        <w:rPr>
          <w:rFonts w:hint="eastAsia" w:ascii="Times" w:hAnsi="Times" w:eastAsia="宋体"/>
          <w:b w:val="0"/>
          <w:sz w:val="20"/>
          <w:lang w:val="en-US" w:eastAsia="zh-CN"/>
        </w:rPr>
        <w:t>, CMCC</w:t>
      </w:r>
    </w:p>
    <w:p w14:paraId="24E42CB0">
      <w:pPr>
        <w:pStyle w:val="14"/>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4"/>
        <w:framePr w:wrap="auto" w:vAnchor="margin" w:hAnchor="text" w:yAlign="inline"/>
        <w:ind w:right="400"/>
        <w:jc w:val="both"/>
        <w:rPr>
          <w:rFonts w:ascii="Times" w:hAnsi="Times" w:eastAsia="宋体"/>
          <w:b w:val="0"/>
          <w:sz w:val="20"/>
          <w:lang w:eastAsia="zh-CN"/>
        </w:rPr>
      </w:pPr>
    </w:p>
    <w:p w14:paraId="0A523C19">
      <w:pPr>
        <w:pStyle w:val="14"/>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A6AB8CDF"/>
    <w:multiLevelType w:val="singleLevel"/>
    <w:tmpl w:val="A6AB8CDF"/>
    <w:lvl w:ilvl="0" w:tentative="0">
      <w:start w:val="1"/>
      <w:numFmt w:val="bullet"/>
      <w:lvlText w:val=""/>
      <w:lvlJc w:val="left"/>
      <w:pPr>
        <w:ind w:left="420" w:hanging="420"/>
      </w:pPr>
      <w:rPr>
        <w:rFonts w:hint="default" w:ascii="Wingdings" w:hAnsi="Wingdings"/>
      </w:rPr>
    </w:lvl>
  </w:abstractNum>
  <w:abstractNum w:abstractNumId="2">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7"/>
  </w:num>
  <w:num w:numId="2">
    <w:abstractNumId w:val="4"/>
  </w:num>
  <w:num w:numId="3">
    <w:abstractNumId w:val="6"/>
  </w:num>
  <w:num w:numId="4">
    <w:abstractNumId w:val="5"/>
  </w:num>
  <w:num w:numId="5">
    <w:abstractNumId w:val="1"/>
  </w:num>
  <w:num w:numId="6">
    <w:abstractNumId w:val="2"/>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508A"/>
    <w:rsid w:val="01AF6A99"/>
    <w:rsid w:val="06A50B76"/>
    <w:rsid w:val="06BB2083"/>
    <w:rsid w:val="08375E63"/>
    <w:rsid w:val="08D72A91"/>
    <w:rsid w:val="0A7648BF"/>
    <w:rsid w:val="0A7A49BE"/>
    <w:rsid w:val="0A922065"/>
    <w:rsid w:val="0ACC294E"/>
    <w:rsid w:val="0BB44D87"/>
    <w:rsid w:val="0CD8520D"/>
    <w:rsid w:val="0DD40EBD"/>
    <w:rsid w:val="0E367C5D"/>
    <w:rsid w:val="0EB9159E"/>
    <w:rsid w:val="11604C92"/>
    <w:rsid w:val="11D129C7"/>
    <w:rsid w:val="12236F4E"/>
    <w:rsid w:val="13057541"/>
    <w:rsid w:val="1364390A"/>
    <w:rsid w:val="137E5A09"/>
    <w:rsid w:val="19A91D8B"/>
    <w:rsid w:val="19CE05F3"/>
    <w:rsid w:val="1B65127F"/>
    <w:rsid w:val="1CB317C0"/>
    <w:rsid w:val="1F9F6471"/>
    <w:rsid w:val="1FCF11BE"/>
    <w:rsid w:val="20282B52"/>
    <w:rsid w:val="20372402"/>
    <w:rsid w:val="208805ED"/>
    <w:rsid w:val="22ED6B5D"/>
    <w:rsid w:val="25DF10AE"/>
    <w:rsid w:val="27DC69EE"/>
    <w:rsid w:val="29EC29E9"/>
    <w:rsid w:val="2A552882"/>
    <w:rsid w:val="2BD8717A"/>
    <w:rsid w:val="2C7F23A1"/>
    <w:rsid w:val="2CB20162"/>
    <w:rsid w:val="2D2B45A9"/>
    <w:rsid w:val="2E8A1F67"/>
    <w:rsid w:val="2FCE1F78"/>
    <w:rsid w:val="31174DA4"/>
    <w:rsid w:val="31E51409"/>
    <w:rsid w:val="32886F74"/>
    <w:rsid w:val="330C088E"/>
    <w:rsid w:val="33552E44"/>
    <w:rsid w:val="3555506A"/>
    <w:rsid w:val="37187417"/>
    <w:rsid w:val="37764AE1"/>
    <w:rsid w:val="38A21551"/>
    <w:rsid w:val="3B8D0A22"/>
    <w:rsid w:val="3C0E0A5C"/>
    <w:rsid w:val="3EC83B67"/>
    <w:rsid w:val="3F0D09C6"/>
    <w:rsid w:val="3F3E1E72"/>
    <w:rsid w:val="3FE206D5"/>
    <w:rsid w:val="40BB4940"/>
    <w:rsid w:val="40C377CE"/>
    <w:rsid w:val="41C932CA"/>
    <w:rsid w:val="43247753"/>
    <w:rsid w:val="43394480"/>
    <w:rsid w:val="44767BDF"/>
    <w:rsid w:val="44FF5255"/>
    <w:rsid w:val="46CC1F51"/>
    <w:rsid w:val="46ED24A2"/>
    <w:rsid w:val="487E0D7E"/>
    <w:rsid w:val="4AD7736C"/>
    <w:rsid w:val="4B8A3F84"/>
    <w:rsid w:val="4CD27092"/>
    <w:rsid w:val="4D416DCE"/>
    <w:rsid w:val="4D594475"/>
    <w:rsid w:val="4DF27705"/>
    <w:rsid w:val="4FDF2F1A"/>
    <w:rsid w:val="514E65F3"/>
    <w:rsid w:val="532C2301"/>
    <w:rsid w:val="554C3600"/>
    <w:rsid w:val="572A2B91"/>
    <w:rsid w:val="578135A0"/>
    <w:rsid w:val="5ACF2987"/>
    <w:rsid w:val="5CCE66D5"/>
    <w:rsid w:val="5E3A5D61"/>
    <w:rsid w:val="5F3131BC"/>
    <w:rsid w:val="5FD0250C"/>
    <w:rsid w:val="603B0CB0"/>
    <w:rsid w:val="60541D9A"/>
    <w:rsid w:val="60BD0047"/>
    <w:rsid w:val="620C10EB"/>
    <w:rsid w:val="624C0D43"/>
    <w:rsid w:val="63504103"/>
    <w:rsid w:val="63F97611"/>
    <w:rsid w:val="64805613"/>
    <w:rsid w:val="665A5356"/>
    <w:rsid w:val="6684087E"/>
    <w:rsid w:val="67125837"/>
    <w:rsid w:val="679A112F"/>
    <w:rsid w:val="681151C8"/>
    <w:rsid w:val="6BC309B6"/>
    <w:rsid w:val="6D6E1218"/>
    <w:rsid w:val="70EF3E1D"/>
    <w:rsid w:val="73BF0E77"/>
    <w:rsid w:val="74B46F86"/>
    <w:rsid w:val="74BC5500"/>
    <w:rsid w:val="7505015D"/>
    <w:rsid w:val="751F6501"/>
    <w:rsid w:val="759E7B54"/>
    <w:rsid w:val="76542E2F"/>
    <w:rsid w:val="76B367FD"/>
    <w:rsid w:val="776F2970"/>
    <w:rsid w:val="78417632"/>
    <w:rsid w:val="7AAC00BD"/>
    <w:rsid w:val="7AFC5AB2"/>
    <w:rsid w:val="7B4836CD"/>
    <w:rsid w:val="7D6C7155"/>
    <w:rsid w:val="7D997FC8"/>
    <w:rsid w:val="7DC1309B"/>
    <w:rsid w:val="7DF870B2"/>
    <w:rsid w:val="7E2F6E92"/>
    <w:rsid w:val="7F0326E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2"/>
    <w:basedOn w:val="7"/>
    <w:qFormat/>
    <w:uiPriority w:val="0"/>
  </w:style>
  <w:style w:type="paragraph" w:customStyle="1" w:styleId="21">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2025-05-09T08:38:40Z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